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_GBK" w:hAnsi="方正小标宋_GBK" w:eastAsia="方正小标宋_GBK"/>
          <w:b w:val="0"/>
          <w:bCs w:val="0"/>
          <w:sz w:val="30"/>
        </w:rPr>
      </w:pPr>
      <w:bookmarkStart w:id="0" w:name="_Toc24724710"/>
      <w:r>
        <w:rPr>
          <w:rFonts w:hint="eastAsia" w:ascii="方正小标宋_GBK" w:hAnsi="方正小标宋_GBK" w:eastAsia="方正小标宋_GBK"/>
          <w:b w:val="0"/>
          <w:bCs w:val="0"/>
          <w:sz w:val="30"/>
          <w:lang w:val="en-US" w:eastAsia="zh-CN"/>
        </w:rPr>
        <w:t xml:space="preserve">      </w:t>
      </w:r>
      <w:bookmarkEnd w:id="0"/>
      <w:bookmarkStart w:id="1" w:name="_GoBack"/>
      <w:bookmarkEnd w:id="1"/>
      <w:r>
        <w:rPr>
          <w:rFonts w:hint="eastAsia" w:ascii="方正小标宋_GBK" w:hAnsi="方正小标宋_GBK" w:eastAsia="方正小标宋_GBK"/>
          <w:b w:val="0"/>
          <w:bCs w:val="0"/>
          <w:sz w:val="30"/>
        </w:rPr>
        <w:t>公共法律服务领域基公开标准目录</w:t>
      </w:r>
    </w:p>
    <w:tbl>
      <w:tblPr>
        <w:tblStyle w:val="10"/>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1695"/>
        <w:gridCol w:w="900"/>
        <w:gridCol w:w="928"/>
        <w:gridCol w:w="681"/>
        <w:gridCol w:w="836"/>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spacing w:line="220" w:lineRule="exact"/>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95" w:type="dxa"/>
            <w:vMerge w:val="restart"/>
            <w:shd w:val="clear" w:color="auto" w:fill="auto"/>
            <w:vAlign w:val="center"/>
          </w:tcPr>
          <w:p>
            <w:pPr>
              <w:widowControl/>
              <w:spacing w:line="220" w:lineRule="exact"/>
              <w:jc w:val="center"/>
              <w:rPr>
                <w:rFonts w:ascii="黑体" w:hAnsi="宋体" w:eastAsia="黑体" w:cs="宋体"/>
                <w:kern w:val="0"/>
                <w:sz w:val="22"/>
              </w:rPr>
            </w:pPr>
            <w:r>
              <w:rPr>
                <w:rFonts w:hint="eastAsia" w:ascii="黑体" w:hAnsi="宋体" w:eastAsia="黑体" w:cs="宋体"/>
                <w:kern w:val="0"/>
                <w:sz w:val="22"/>
              </w:rPr>
              <w:t>公开渠道和载体</w:t>
            </w:r>
          </w:p>
        </w:tc>
        <w:tc>
          <w:tcPr>
            <w:tcW w:w="1828" w:type="dxa"/>
            <w:gridSpan w:val="2"/>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517" w:type="dxa"/>
            <w:gridSpan w:val="2"/>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spacing w:line="220" w:lineRule="exact"/>
              <w:jc w:val="left"/>
              <w:rPr>
                <w:rFonts w:ascii="Times New Roman" w:hAnsi="Times New Roman"/>
                <w:color w:val="000000"/>
                <w:kern w:val="0"/>
                <w:sz w:val="22"/>
              </w:rPr>
            </w:pPr>
          </w:p>
        </w:tc>
        <w:tc>
          <w:tcPr>
            <w:tcW w:w="900" w:type="dxa"/>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pPr>
              <w:widowControl/>
              <w:spacing w:line="220" w:lineRule="exact"/>
              <w:jc w:val="left"/>
              <w:rPr>
                <w:rFonts w:ascii="黑体" w:hAnsi="宋体" w:eastAsia="黑体" w:cs="宋体"/>
                <w:color w:val="000000"/>
                <w:kern w:val="0"/>
                <w:sz w:val="22"/>
              </w:rPr>
            </w:pPr>
          </w:p>
        </w:tc>
        <w:tc>
          <w:tcPr>
            <w:tcW w:w="1980" w:type="dxa"/>
            <w:vMerge w:val="continue"/>
            <w:vAlign w:val="center"/>
          </w:tcPr>
          <w:p>
            <w:pPr>
              <w:widowControl/>
              <w:spacing w:line="220" w:lineRule="exact"/>
              <w:jc w:val="left"/>
              <w:rPr>
                <w:rFonts w:ascii="黑体" w:hAnsi="宋体" w:eastAsia="黑体" w:cs="宋体"/>
                <w:color w:val="000000"/>
                <w:kern w:val="0"/>
                <w:sz w:val="22"/>
              </w:rPr>
            </w:pPr>
          </w:p>
        </w:tc>
        <w:tc>
          <w:tcPr>
            <w:tcW w:w="1800" w:type="dxa"/>
            <w:vMerge w:val="continue"/>
            <w:vAlign w:val="center"/>
          </w:tcPr>
          <w:p>
            <w:pPr>
              <w:widowControl/>
              <w:spacing w:line="220" w:lineRule="exact"/>
              <w:jc w:val="left"/>
              <w:rPr>
                <w:rFonts w:ascii="黑体" w:hAnsi="宋体" w:eastAsia="黑体" w:cs="宋体"/>
                <w:color w:val="000000"/>
                <w:kern w:val="0"/>
                <w:sz w:val="22"/>
              </w:rPr>
            </w:pPr>
          </w:p>
        </w:tc>
        <w:tc>
          <w:tcPr>
            <w:tcW w:w="900" w:type="dxa"/>
            <w:vMerge w:val="continue"/>
            <w:vAlign w:val="center"/>
          </w:tcPr>
          <w:p>
            <w:pPr>
              <w:widowControl/>
              <w:spacing w:line="220" w:lineRule="exact"/>
              <w:jc w:val="left"/>
              <w:rPr>
                <w:rFonts w:ascii="黑体" w:hAnsi="宋体" w:eastAsia="黑体" w:cs="宋体"/>
                <w:color w:val="000000"/>
                <w:kern w:val="0"/>
                <w:sz w:val="22"/>
              </w:rPr>
            </w:pPr>
          </w:p>
        </w:tc>
        <w:tc>
          <w:tcPr>
            <w:tcW w:w="1695" w:type="dxa"/>
            <w:vMerge w:val="continue"/>
            <w:vAlign w:val="center"/>
          </w:tcPr>
          <w:p>
            <w:pPr>
              <w:widowControl/>
              <w:spacing w:line="220" w:lineRule="exact"/>
              <w:jc w:val="left"/>
              <w:rPr>
                <w:rFonts w:ascii="黑体" w:hAnsi="宋体" w:eastAsia="黑体" w:cs="宋体"/>
                <w:kern w:val="0"/>
                <w:sz w:val="22"/>
              </w:rPr>
            </w:pPr>
          </w:p>
        </w:tc>
        <w:tc>
          <w:tcPr>
            <w:tcW w:w="900" w:type="dxa"/>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28" w:type="dxa"/>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681" w:type="dxa"/>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36" w:type="dxa"/>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spacing w:line="220" w:lineRule="exact"/>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《中共中央、国务院转发&lt;中央宣传部、司法部关于在公民中开展法治宣传教育的第七个五年规划（2016－2020年）&gt;》、自治区“七五”普法规划</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■入户/现场     </w:t>
            </w:r>
          </w:p>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■其他法律服务网</w:t>
            </w:r>
          </w:p>
          <w:p>
            <w:pPr>
              <w:widowControl/>
              <w:spacing w:line="220" w:lineRule="exact"/>
              <w:jc w:val="left"/>
              <w:rPr>
                <w:rFonts w:ascii="仿宋_GB2312" w:hAnsi="宋体" w:eastAsia="仿宋_GB2312"/>
                <w:color w:val="000000"/>
                <w:sz w:val="18"/>
                <w:szCs w:val="18"/>
              </w:rPr>
            </w:pPr>
          </w:p>
        </w:tc>
        <w:tc>
          <w:tcPr>
            <w:tcW w:w="900" w:type="dxa"/>
            <w:shd w:val="clear" w:color="auto" w:fill="auto"/>
            <w:vAlign w:val="center"/>
          </w:tcPr>
          <w:p>
            <w:pPr>
              <w:widowControl/>
              <w:spacing w:line="220" w:lineRule="exact"/>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928"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681"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36"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54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pPr>
              <w:widowControl/>
              <w:spacing w:line="220" w:lineRule="exact"/>
              <w:jc w:val="center"/>
              <w:rPr>
                <w:rFonts w:ascii="仿宋_GB2312" w:hAnsi="宋体" w:eastAsia="仿宋_GB2312"/>
                <w:color w:val="000000"/>
                <w:sz w:val="18"/>
                <w:szCs w:val="18"/>
              </w:rPr>
            </w:pP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《中共中央、国务院转发&lt;中央宣传部、司法部关于在公民中开展法治宣传教育的第七个五年规划（2016－2020年）&gt;》、自治区“七五”普法规划</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■入户/现场     </w:t>
            </w:r>
          </w:p>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■其他法律服务网</w:t>
            </w:r>
          </w:p>
        </w:tc>
        <w:tc>
          <w:tcPr>
            <w:tcW w:w="90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28"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681"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36"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54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pPr>
              <w:widowControl/>
              <w:spacing w:line="220" w:lineRule="exact"/>
              <w:jc w:val="center"/>
              <w:rPr>
                <w:rFonts w:ascii="仿宋_GB2312" w:hAnsi="宋体" w:eastAsia="仿宋_GB2312"/>
                <w:color w:val="000000"/>
                <w:sz w:val="18"/>
                <w:szCs w:val="18"/>
              </w:rPr>
            </w:pP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《中共中央、国务院转发&lt;中央宣传部、司法部关于在公民中开展法治宣传教育的第七个五年规划（2016－2020年）&gt;》、自治区“七五”普法规划</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■入户/现场     </w:t>
            </w:r>
          </w:p>
          <w:p>
            <w:pPr>
              <w:widowControl/>
              <w:spacing w:line="220" w:lineRule="exact"/>
              <w:rPr>
                <w:rFonts w:ascii="仿宋_GB2312" w:hAnsi="宋体" w:eastAsia="仿宋_GB2312"/>
                <w:color w:val="000000"/>
                <w:sz w:val="18"/>
                <w:szCs w:val="18"/>
              </w:rPr>
            </w:pPr>
          </w:p>
        </w:tc>
        <w:tc>
          <w:tcPr>
            <w:tcW w:w="90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28"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681"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36"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54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p>
            <w:pPr>
              <w:widowControl/>
              <w:spacing w:line="220" w:lineRule="exact"/>
              <w:rPr>
                <w:rFonts w:ascii="仿宋_GB2312" w:hAnsi="宋体" w:eastAsia="仿宋_GB2312"/>
                <w:color w:val="000000"/>
                <w:sz w:val="18"/>
                <w:szCs w:val="18"/>
              </w:rPr>
            </w:pP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9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8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《公证法》、《公证员执业管理办法》</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900"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928"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681"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36"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54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1" w:hRule="atLeas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《法律援助条例》、《内蒙古自治区法律援助条例》</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9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法律援助申请人、受指派的律师事务所或其他组织等</w:t>
            </w: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8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《法律援助条例》、《内蒙古自治区省法律援助条例》</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9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申请人</w:t>
            </w: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8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shd w:val="clear" w:color="auto" w:fill="auto"/>
            <w:vAlign w:val="center"/>
          </w:tcPr>
          <w:p>
            <w:pPr>
              <w:widowControl/>
              <w:spacing w:line="220" w:lineRule="exact"/>
              <w:jc w:val="center"/>
              <w:rPr>
                <w:rFonts w:ascii="仿宋_GB2312" w:hAnsi="宋体" w:eastAsia="仿宋_GB2312"/>
                <w:color w:val="000000"/>
                <w:sz w:val="18"/>
                <w:szCs w:val="18"/>
              </w:rPr>
            </w:pP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《法律援助条例》、《内蒙古自治区省法律援助条例》</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9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申请人</w:t>
            </w: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8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shd w:val="clear" w:color="auto" w:fill="auto"/>
            <w:vAlign w:val="center"/>
          </w:tcPr>
          <w:p>
            <w:pPr>
              <w:widowControl/>
              <w:spacing w:line="220" w:lineRule="exact"/>
              <w:jc w:val="center"/>
              <w:rPr>
                <w:rFonts w:ascii="仿宋_GB2312" w:hAnsi="宋体" w:eastAsia="仿宋_GB2312"/>
                <w:color w:val="000000"/>
                <w:sz w:val="18"/>
                <w:szCs w:val="18"/>
              </w:rPr>
            </w:pP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《法律援助条例》、《内蒙古自治区省法律援助条例》</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spacing w:line="220" w:lineRule="exact"/>
              <w:jc w:val="left"/>
              <w:rPr>
                <w:rFonts w:ascii="仿宋_GB2312" w:hAnsi="宋体" w:eastAsia="仿宋_GB2312"/>
                <w:color w:val="000000"/>
                <w:sz w:val="18"/>
                <w:szCs w:val="18"/>
              </w:rPr>
            </w:pP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9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8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shd w:val="clear" w:color="auto" w:fill="auto"/>
            <w:vAlign w:val="center"/>
          </w:tcPr>
          <w:p>
            <w:pPr>
              <w:widowControl/>
              <w:spacing w:line="220" w:lineRule="exact"/>
            </w:pPr>
            <w:r>
              <w:rPr>
                <w:rFonts w:hint="eastAsia"/>
              </w:rPr>
              <w:t>法律援助</w:t>
            </w:r>
          </w:p>
          <w:p>
            <w:pPr>
              <w:pStyle w:val="2"/>
            </w:pPr>
          </w:p>
        </w:tc>
        <w:tc>
          <w:tcPr>
            <w:tcW w:w="1440" w:type="dxa"/>
            <w:shd w:val="clear" w:color="auto" w:fill="auto"/>
            <w:vAlign w:val="center"/>
          </w:tcPr>
          <w:p>
            <w:pPr>
              <w:widowControl/>
              <w:spacing w:line="220" w:lineRule="exact"/>
              <w:rPr>
                <w:sz w:val="18"/>
                <w:szCs w:val="18"/>
              </w:rPr>
            </w:pPr>
            <w:r>
              <w:rPr>
                <w:rFonts w:hint="eastAsia"/>
                <w:sz w:val="18"/>
                <w:szCs w:val="18"/>
              </w:rPr>
              <w:t>对律师事务所拒绝法律援助机构指派，不安排本所律师办理法律援助案件、律师无正当理由拒绝接受、擅自终止法律援助案件或办理法律援助案件收取财物的处罚</w:t>
            </w:r>
          </w:p>
          <w:p>
            <w:pPr>
              <w:pStyle w:val="2"/>
              <w:ind w:firstLine="360"/>
              <w:rPr>
                <w:sz w:val="18"/>
                <w:szCs w:val="18"/>
              </w:rPr>
            </w:pP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《法律援助条例》、《内蒙古自治区法律援助条例》</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9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92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68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8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p>
        </w:tc>
        <w:tc>
          <w:tcPr>
            <w:tcW w:w="5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基层</w:t>
            </w:r>
          </w:p>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900"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928" w:type="dxa"/>
            <w:shd w:val="clear" w:color="auto" w:fill="auto"/>
            <w:vAlign w:val="center"/>
          </w:tcPr>
          <w:p>
            <w:pPr>
              <w:widowControl/>
              <w:spacing w:line="220" w:lineRule="exact"/>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申请人</w:t>
            </w:r>
          </w:p>
        </w:tc>
        <w:tc>
          <w:tcPr>
            <w:tcW w:w="681"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36"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54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restart"/>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基层</w:t>
            </w:r>
          </w:p>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p>
        </w:tc>
        <w:tc>
          <w:tcPr>
            <w:tcW w:w="90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28"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681"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36"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54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Merge w:val="continue"/>
            <w:shd w:val="clear" w:color="auto" w:fill="auto"/>
            <w:vAlign w:val="center"/>
          </w:tcPr>
          <w:p>
            <w:pPr>
              <w:widowControl/>
              <w:spacing w:line="220" w:lineRule="exact"/>
              <w:jc w:val="center"/>
              <w:rPr>
                <w:rFonts w:ascii="仿宋_GB2312" w:hAnsi="宋体" w:eastAsia="仿宋_GB2312"/>
                <w:color w:val="000000"/>
                <w:sz w:val="18"/>
                <w:szCs w:val="18"/>
              </w:rPr>
            </w:pPr>
          </w:p>
        </w:tc>
        <w:tc>
          <w:tcPr>
            <w:tcW w:w="1440" w:type="dxa"/>
            <w:shd w:val="clear" w:color="auto" w:fill="auto"/>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vAlign w:val="center"/>
          </w:tcPr>
          <w:p>
            <w:pPr>
              <w:widowControl/>
              <w:tabs>
                <w:tab w:val="center" w:pos="4153"/>
                <w:tab w:val="right" w:pos="8306"/>
              </w:tabs>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pPr>
              <w:widowControl/>
              <w:spacing w:line="22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■政府网站</w:t>
            </w:r>
          </w:p>
          <w:p>
            <w:pPr>
              <w:widowControl/>
              <w:spacing w:line="220" w:lineRule="exact"/>
              <w:jc w:val="left"/>
              <w:rPr>
                <w:rFonts w:ascii="仿宋_GB2312" w:hAnsi="宋体" w:eastAsia="仿宋_GB2312"/>
                <w:color w:val="000000"/>
                <w:sz w:val="18"/>
                <w:szCs w:val="18"/>
              </w:rPr>
            </w:pPr>
            <w:r>
              <w:rPr>
                <w:rFonts w:ascii="仿宋_GB2312" w:hAnsi="宋体" w:eastAsia="仿宋_GB2312"/>
                <w:color w:val="000000"/>
                <w:sz w:val="18"/>
                <w:szCs w:val="18"/>
              </w:rPr>
              <w:t>■其他法律服务网</w:t>
            </w:r>
          </w:p>
        </w:tc>
        <w:tc>
          <w:tcPr>
            <w:tcW w:w="900" w:type="dxa"/>
            <w:shd w:val="clear" w:color="auto" w:fill="auto"/>
            <w:vAlign w:val="center"/>
          </w:tcPr>
          <w:p>
            <w:pPr>
              <w:widowControl/>
              <w:spacing w:line="220" w:lineRule="exact"/>
              <w:jc w:val="center"/>
            </w:pPr>
          </w:p>
          <w:p>
            <w:pPr>
              <w:bidi w:val="0"/>
              <w:ind w:firstLine="556" w:firstLineChars="0"/>
              <w:jc w:val="left"/>
              <w:rPr>
                <w:rFonts w:ascii="Calibri" w:hAnsi="Calibri" w:eastAsia="宋体" w:cs="Times New Roman"/>
                <w:kern w:val="2"/>
                <w:sz w:val="21"/>
                <w:szCs w:val="22"/>
                <w:lang w:val="en-US" w:eastAsia="zh-CN" w:bidi="ar-SA"/>
              </w:rPr>
            </w:pPr>
            <w:r>
              <w:rPr>
                <w:rFonts w:hint="eastAsia" w:ascii="仿宋_GB2312" w:hAnsi="宋体" w:eastAsia="仿宋_GB2312"/>
                <w:color w:val="000000"/>
                <w:sz w:val="18"/>
                <w:szCs w:val="18"/>
              </w:rPr>
              <w:t>√</w:t>
            </w:r>
          </w:p>
        </w:tc>
        <w:tc>
          <w:tcPr>
            <w:tcW w:w="928"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681"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36" w:type="dxa"/>
            <w:shd w:val="clear" w:color="auto" w:fill="auto"/>
            <w:vAlign w:val="center"/>
          </w:tcPr>
          <w:p>
            <w:pPr>
              <w:widowControl/>
              <w:spacing w:line="220" w:lineRule="exact"/>
              <w:jc w:val="center"/>
              <w:rPr>
                <w:rFonts w:ascii="仿宋_GB2312" w:hAnsi="宋体" w:eastAsia="仿宋_GB2312"/>
                <w:color w:val="000000"/>
                <w:sz w:val="18"/>
                <w:szCs w:val="18"/>
              </w:rPr>
            </w:pPr>
          </w:p>
        </w:tc>
        <w:tc>
          <w:tcPr>
            <w:tcW w:w="540" w:type="dxa"/>
            <w:shd w:val="clear" w:color="auto" w:fill="auto"/>
            <w:vAlign w:val="center"/>
          </w:tcPr>
          <w:p>
            <w:pPr>
              <w:widowControl/>
              <w:spacing w:line="22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spacing w:line="220" w:lineRule="exact"/>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shd w:val="clear" w:color="auto" w:fill="auto"/>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《人民调解法》、《内蒙古自治区人民调解条例》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pPr>
              <w:widowControl/>
              <w:jc w:val="left"/>
              <w:textAlignment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28" w:type="dxa"/>
            <w:shd w:val="clear" w:color="auto" w:fill="auto"/>
            <w:vAlign w:val="center"/>
          </w:tcPr>
          <w:p>
            <w:pPr>
              <w:jc w:val="center"/>
              <w:rPr>
                <w:rFonts w:ascii="仿宋_GB2312" w:hAnsi="宋体" w:eastAsia="仿宋_GB2312"/>
                <w:color w:val="000000"/>
                <w:sz w:val="18"/>
                <w:szCs w:val="18"/>
              </w:rPr>
            </w:pPr>
          </w:p>
        </w:tc>
        <w:tc>
          <w:tcPr>
            <w:tcW w:w="68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36"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查询</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《中共中央、国务院转发&lt;中央宣传部、司法部关于在公民中开展法治宣传教育的第七个五年规划（2016－2020年）&gt;》《内蒙古自治区“七五”普法规划》</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90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28" w:type="dxa"/>
            <w:shd w:val="clear" w:color="auto" w:fill="auto"/>
            <w:vAlign w:val="center"/>
          </w:tcPr>
          <w:p>
            <w:pPr>
              <w:jc w:val="center"/>
              <w:rPr>
                <w:rFonts w:ascii="仿宋_GB2312" w:hAnsi="宋体" w:eastAsia="仿宋_GB2312"/>
                <w:color w:val="000000"/>
                <w:sz w:val="18"/>
                <w:szCs w:val="18"/>
              </w:rPr>
            </w:pPr>
          </w:p>
        </w:tc>
        <w:tc>
          <w:tcPr>
            <w:tcW w:w="681"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36"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shd w:val="clear" w:color="auto" w:fill="auto"/>
            <w:vAlign w:val="center"/>
          </w:tcPr>
          <w:p>
            <w:pPr>
              <w:jc w:val="center"/>
              <w:rPr>
                <w:rFonts w:ascii="仿宋_GB2312" w:hAnsi="宋体" w:eastAsia="仿宋_GB2312"/>
                <w:color w:val="000000"/>
                <w:sz w:val="18"/>
                <w:szCs w:val="18"/>
              </w:rPr>
            </w:pPr>
          </w:p>
        </w:tc>
        <w:tc>
          <w:tcPr>
            <w:tcW w:w="144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ascii="仿宋_GB2312" w:hAnsi="宋体" w:eastAsia="仿宋_GB2312"/>
                <w:color w:val="000000"/>
                <w:sz w:val="18"/>
                <w:szCs w:val="18"/>
              </w:rPr>
              <w:t>■其他法律服务网</w:t>
            </w:r>
          </w:p>
          <w:p>
            <w:pPr>
              <w:widowControl/>
              <w:jc w:val="left"/>
              <w:textAlignment w:val="center"/>
              <w:rPr>
                <w:rFonts w:ascii="仿宋_GB2312" w:hAnsi="宋体" w:eastAsia="仿宋_GB2312"/>
                <w:color w:val="000000"/>
                <w:sz w:val="18"/>
                <w:szCs w:val="18"/>
              </w:rPr>
            </w:pPr>
          </w:p>
        </w:tc>
        <w:tc>
          <w:tcPr>
            <w:tcW w:w="900" w:type="dxa"/>
            <w:shd w:val="clear" w:color="auto" w:fill="auto"/>
            <w:vAlign w:val="center"/>
          </w:tcPr>
          <w:p>
            <w:pPr>
              <w:jc w:val="center"/>
              <w:rPr>
                <w:rFonts w:ascii="仿宋_GB2312" w:hAnsi="宋体" w:eastAsia="仿宋_GB2312"/>
                <w:color w:val="000000"/>
                <w:sz w:val="18"/>
                <w:szCs w:val="18"/>
              </w:rPr>
            </w:pPr>
          </w:p>
        </w:tc>
        <w:tc>
          <w:tcPr>
            <w:tcW w:w="928" w:type="dxa"/>
            <w:shd w:val="clear" w:color="auto" w:fill="auto"/>
            <w:vAlign w:val="center"/>
          </w:tcPr>
          <w:p>
            <w:pPr>
              <w:jc w:val="center"/>
              <w:rPr>
                <w:rFonts w:ascii="仿宋_GB2312" w:hAnsi="宋体" w:eastAsia="仿宋_GB2312"/>
                <w:color w:val="000000"/>
                <w:sz w:val="18"/>
                <w:szCs w:val="18"/>
              </w:rPr>
            </w:pPr>
          </w:p>
        </w:tc>
        <w:tc>
          <w:tcPr>
            <w:tcW w:w="681" w:type="dxa"/>
            <w:shd w:val="clear" w:color="auto" w:fill="auto"/>
            <w:vAlign w:val="center"/>
          </w:tcPr>
          <w:p>
            <w:pPr>
              <w:jc w:val="center"/>
              <w:rPr>
                <w:rFonts w:ascii="仿宋_GB2312" w:hAnsi="宋体" w:eastAsia="仿宋_GB2312"/>
                <w:color w:val="000000"/>
                <w:sz w:val="18"/>
                <w:szCs w:val="18"/>
              </w:rPr>
            </w:pPr>
          </w:p>
        </w:tc>
        <w:tc>
          <w:tcPr>
            <w:tcW w:w="836" w:type="dxa"/>
            <w:shd w:val="clear" w:color="auto" w:fill="auto"/>
            <w:vAlign w:val="center"/>
          </w:tcPr>
          <w:p>
            <w:pPr>
              <w:jc w:val="center"/>
              <w:rPr>
                <w:rFonts w:ascii="仿宋_GB2312" w:hAnsi="宋体" w:eastAsia="仿宋_GB2312"/>
                <w:color w:val="000000"/>
                <w:sz w:val="18"/>
                <w:szCs w:val="18"/>
              </w:rPr>
            </w:pPr>
          </w:p>
        </w:tc>
        <w:tc>
          <w:tcPr>
            <w:tcW w:w="540" w:type="dxa"/>
            <w:shd w:val="clear" w:color="auto" w:fill="auto"/>
            <w:vAlign w:val="center"/>
          </w:tcPr>
          <w:p>
            <w:pPr>
              <w:jc w:val="center"/>
              <w:rPr>
                <w:rFonts w:ascii="仿宋_GB2312" w:hAnsi="宋体" w:eastAsia="仿宋_GB2312"/>
                <w:color w:val="000000"/>
                <w:sz w:val="18"/>
                <w:szCs w:val="18"/>
              </w:rPr>
            </w:pPr>
          </w:p>
        </w:tc>
        <w:tc>
          <w:tcPr>
            <w:tcW w:w="720" w:type="dxa"/>
            <w:shd w:val="clear" w:color="auto" w:fill="auto"/>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spacing w:line="240" w:lineRule="exact"/>
              <w:jc w:val="center"/>
              <w:textAlignment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17</w:t>
            </w:r>
          </w:p>
        </w:tc>
        <w:tc>
          <w:tcPr>
            <w:tcW w:w="900" w:type="dxa"/>
            <w:shd w:val="clear" w:color="auto" w:fill="auto"/>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shd w:val="clear" w:color="auto" w:fill="auto"/>
            <w:vAlign w:val="center"/>
          </w:tcPr>
          <w:p>
            <w:pPr>
              <w:widowControl/>
              <w:spacing w:line="240" w:lineRule="exac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pPr>
              <w:tabs>
                <w:tab w:val="center" w:pos="4153"/>
                <w:tab w:val="right" w:pos="8306"/>
              </w:tabs>
              <w:snapToGrid w:val="0"/>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pPr>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lang w:eastAsia="zh-CN"/>
              </w:rPr>
              <w:t>东乌旗司法局</w:t>
            </w:r>
          </w:p>
        </w:tc>
        <w:tc>
          <w:tcPr>
            <w:tcW w:w="1695" w:type="dxa"/>
            <w:vAlign w:val="center"/>
          </w:tcPr>
          <w:p>
            <w:pPr>
              <w:widowControl/>
              <w:spacing w:line="240" w:lineRule="exac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widowControl/>
              <w:spacing w:line="240" w:lineRule="exac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r>
              <w:rPr>
                <w:rFonts w:ascii="仿宋_GB2312" w:hAnsi="宋体" w:eastAsia="仿宋_GB2312"/>
                <w:color w:val="000000"/>
                <w:sz w:val="18"/>
                <w:szCs w:val="18"/>
              </w:rPr>
              <w:t>■其他法律服务网</w:t>
            </w:r>
          </w:p>
          <w:p>
            <w:pPr>
              <w:widowControl/>
              <w:spacing w:line="240" w:lineRule="exact"/>
              <w:jc w:val="left"/>
              <w:textAlignment w:val="center"/>
              <w:rPr>
                <w:rFonts w:ascii="仿宋_GB2312" w:hAnsi="宋体" w:eastAsia="仿宋_GB2312"/>
                <w:color w:val="000000"/>
                <w:sz w:val="18"/>
                <w:szCs w:val="18"/>
              </w:rPr>
            </w:pPr>
          </w:p>
        </w:tc>
        <w:tc>
          <w:tcPr>
            <w:tcW w:w="900"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28"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rPr>
                <w:rFonts w:ascii="仿宋_GB2312" w:hAnsi="宋体" w:eastAsia="仿宋_GB2312"/>
                <w:color w:val="000000"/>
                <w:sz w:val="18"/>
                <w:szCs w:val="18"/>
              </w:rPr>
            </w:pPr>
          </w:p>
        </w:tc>
        <w:tc>
          <w:tcPr>
            <w:tcW w:w="681"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836"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rPr>
                <w:rFonts w:ascii="仿宋_GB2312" w:hAnsi="宋体" w:eastAsia="仿宋_GB2312"/>
                <w:color w:val="000000"/>
                <w:sz w:val="18"/>
                <w:szCs w:val="18"/>
              </w:rPr>
            </w:pPr>
          </w:p>
        </w:tc>
        <w:tc>
          <w:tcPr>
            <w:tcW w:w="540"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keepNext w:val="0"/>
              <w:keepLines w:val="0"/>
              <w:pageBreakBefore w:val="0"/>
              <w:kinsoku/>
              <w:wordWrap/>
              <w:overflowPunct/>
              <w:topLinePunct w:val="0"/>
              <w:autoSpaceDE/>
              <w:autoSpaceDN/>
              <w:bidi w:val="0"/>
              <w:adjustRightInd/>
              <w:spacing w:line="24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F9F04D-F651-4971-A25A-4C44C92DF6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A4DD0E-9F22-4D4B-A70C-722D28D12EE4}"/>
  </w:font>
  <w:font w:name="等线">
    <w:panose1 w:val="02010600030101010101"/>
    <w:charset w:val="86"/>
    <w:family w:val="auto"/>
    <w:pitch w:val="default"/>
    <w:sig w:usb0="A00002BF" w:usb1="38CF7CFA" w:usb2="00000016" w:usb3="00000000" w:csb0="0004000F" w:csb1="00000000"/>
    <w:embedRegular r:id="rId3" w:fontKey="{020D6F53-A18D-4410-9D7E-FE214F9765EF}"/>
  </w:font>
  <w:font w:name="方正小标宋_GBK">
    <w:panose1 w:val="02000000000000000000"/>
    <w:charset w:val="86"/>
    <w:family w:val="script"/>
    <w:pitch w:val="default"/>
    <w:sig w:usb0="A00002BF" w:usb1="38CF7CFA" w:usb2="00082016" w:usb3="00000000" w:csb0="00040001" w:csb1="00000000"/>
    <w:embedRegular r:id="rId4" w:fontKey="{FA3AC5D6-974C-44C1-B41B-B326516D8733}"/>
  </w:font>
  <w:font w:name="仿宋_GB2312">
    <w:panose1 w:val="02010609030101010101"/>
    <w:charset w:val="86"/>
    <w:family w:val="modern"/>
    <w:pitch w:val="default"/>
    <w:sig w:usb0="00000001" w:usb1="080E0000" w:usb2="00000000" w:usb3="00000000" w:csb0="00040000" w:csb1="00000000"/>
    <w:embedRegular r:id="rId5" w:fontKey="{C29979C4-81F0-4F4F-97E9-885B766B560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93"/>
    <w:rsid w:val="001E6D63"/>
    <w:rsid w:val="002967AA"/>
    <w:rsid w:val="002E0878"/>
    <w:rsid w:val="003B2C77"/>
    <w:rsid w:val="00416393"/>
    <w:rsid w:val="00586590"/>
    <w:rsid w:val="005E7DB9"/>
    <w:rsid w:val="00612901"/>
    <w:rsid w:val="006A5E96"/>
    <w:rsid w:val="008438B0"/>
    <w:rsid w:val="00902A01"/>
    <w:rsid w:val="00C41752"/>
    <w:rsid w:val="00D15318"/>
    <w:rsid w:val="00F33EE9"/>
    <w:rsid w:val="00F74E34"/>
    <w:rsid w:val="00FA002F"/>
    <w:rsid w:val="03BE768A"/>
    <w:rsid w:val="04BD5A45"/>
    <w:rsid w:val="17D90355"/>
    <w:rsid w:val="210D2C48"/>
    <w:rsid w:val="219E1E8B"/>
    <w:rsid w:val="294145A3"/>
    <w:rsid w:val="29696C8D"/>
    <w:rsid w:val="2BBD0548"/>
    <w:rsid w:val="318620EA"/>
    <w:rsid w:val="35950C8F"/>
    <w:rsid w:val="397C5F0F"/>
    <w:rsid w:val="3E2E2148"/>
    <w:rsid w:val="3F8E0CE8"/>
    <w:rsid w:val="40F42C0C"/>
    <w:rsid w:val="43150D80"/>
    <w:rsid w:val="45CD5155"/>
    <w:rsid w:val="4AA23416"/>
    <w:rsid w:val="539B5786"/>
    <w:rsid w:val="6EF13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annotation text"/>
    <w:basedOn w:val="1"/>
    <w:link w:val="18"/>
    <w:semiHidden/>
    <w:qFormat/>
    <w:uiPriority w:val="0"/>
    <w:pPr>
      <w:jc w:val="left"/>
    </w:pPr>
  </w:style>
  <w:style w:type="paragraph" w:styleId="5">
    <w:name w:val="Balloon Text"/>
    <w:basedOn w:val="1"/>
    <w:link w:val="20"/>
    <w:semiHidden/>
    <w:qFormat/>
    <w:uiPriority w:val="0"/>
    <w:rPr>
      <w:sz w:val="18"/>
      <w:szCs w:val="18"/>
    </w:rPr>
  </w:style>
  <w:style w:type="paragraph" w:styleId="6">
    <w:name w:val="footer"/>
    <w:basedOn w:val="1"/>
    <w:link w:val="23"/>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14760"/>
      </w:tabs>
      <w:spacing w:line="700" w:lineRule="exact"/>
      <w:ind w:left="359" w:leftChars="171" w:right="332" w:rightChars="158"/>
    </w:pPr>
  </w:style>
  <w:style w:type="paragraph" w:styleId="9">
    <w:name w:val="annotation subject"/>
    <w:basedOn w:val="4"/>
    <w:next w:val="4"/>
    <w:link w:val="19"/>
    <w:semiHidden/>
    <w:qFormat/>
    <w:uiPriority w:val="0"/>
    <w:rPr>
      <w:b/>
      <w:bCs/>
    </w:rPr>
  </w:style>
  <w:style w:type="table" w:styleId="11">
    <w:name w:val="Table Grid"/>
    <w:basedOn w:val="10"/>
    <w:qFormat/>
    <w:uiPriority w:val="0"/>
    <w:rPr>
      <w:rFonts w:ascii="Calibri" w:hAnsi="Calibri" w:eastAsia="宋体" w:cs="Times New Roman"/>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Char"/>
    <w:basedOn w:val="12"/>
    <w:link w:val="3"/>
    <w:qFormat/>
    <w:uiPriority w:val="0"/>
    <w:rPr>
      <w:rFonts w:ascii="Calibri" w:hAnsi="Calibri" w:eastAsia="宋体" w:cs="Times New Roman"/>
      <w:b/>
      <w:bCs/>
      <w:kern w:val="44"/>
      <w:sz w:val="44"/>
      <w:szCs w:val="44"/>
    </w:rPr>
  </w:style>
  <w:style w:type="paragraph" w:customStyle="1" w:styleId="17">
    <w:name w:val="列出段落1"/>
    <w:basedOn w:val="1"/>
    <w:qFormat/>
    <w:uiPriority w:val="0"/>
    <w:pPr>
      <w:ind w:firstLine="420" w:firstLineChars="200"/>
    </w:pPr>
    <w:rPr>
      <w:rFonts w:ascii="等线" w:hAnsi="等线" w:eastAsia="等线"/>
    </w:rPr>
  </w:style>
  <w:style w:type="character" w:customStyle="1" w:styleId="18">
    <w:name w:val="批注文字 Char"/>
    <w:basedOn w:val="12"/>
    <w:link w:val="4"/>
    <w:semiHidden/>
    <w:qFormat/>
    <w:uiPriority w:val="0"/>
    <w:rPr>
      <w:rFonts w:ascii="Calibri" w:hAnsi="Calibri" w:eastAsia="宋体" w:cs="Times New Roman"/>
    </w:rPr>
  </w:style>
  <w:style w:type="character" w:customStyle="1" w:styleId="19">
    <w:name w:val="批注主题 Char"/>
    <w:basedOn w:val="18"/>
    <w:link w:val="9"/>
    <w:semiHidden/>
    <w:qFormat/>
    <w:uiPriority w:val="0"/>
    <w:rPr>
      <w:rFonts w:ascii="Calibri" w:hAnsi="Calibri" w:eastAsia="宋体" w:cs="Times New Roman"/>
      <w:b/>
      <w:bCs/>
    </w:rPr>
  </w:style>
  <w:style w:type="character" w:customStyle="1" w:styleId="20">
    <w:name w:val="批注框文本 Char"/>
    <w:basedOn w:val="12"/>
    <w:link w:val="5"/>
    <w:semiHidden/>
    <w:qFormat/>
    <w:uiPriority w:val="0"/>
    <w:rPr>
      <w:rFonts w:ascii="Calibri" w:hAnsi="Calibri" w:eastAsia="宋体" w:cs="Times New Roman"/>
      <w:sz w:val="18"/>
      <w:szCs w:val="18"/>
    </w:rPr>
  </w:style>
  <w:style w:type="paragraph" w:customStyle="1" w:styleId="21">
    <w:name w:val="列出段落11"/>
    <w:basedOn w:val="1"/>
    <w:qFormat/>
    <w:uiPriority w:val="0"/>
    <w:pPr>
      <w:ind w:firstLine="420" w:firstLineChars="200"/>
    </w:pPr>
  </w:style>
  <w:style w:type="character" w:customStyle="1" w:styleId="22">
    <w:name w:val="页眉 Char"/>
    <w:basedOn w:val="12"/>
    <w:link w:val="7"/>
    <w:qFormat/>
    <w:uiPriority w:val="0"/>
    <w:rPr>
      <w:rFonts w:ascii="Calibri" w:hAnsi="Calibri" w:eastAsia="宋体" w:cs="Times New Roman"/>
      <w:sz w:val="18"/>
      <w:szCs w:val="18"/>
    </w:rPr>
  </w:style>
  <w:style w:type="character" w:customStyle="1" w:styleId="23">
    <w:name w:val="页脚 Char"/>
    <w:basedOn w:val="12"/>
    <w:link w:val="6"/>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322BA-5D7C-4423-8EF3-F1A2DE810DA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405</Words>
  <Characters>2313</Characters>
  <Lines>19</Lines>
  <Paragraphs>5</Paragraphs>
  <TotalTime>9</TotalTime>
  <ScaleCrop>false</ScaleCrop>
  <LinksUpToDate>false</LinksUpToDate>
  <CharactersWithSpaces>2713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2020-12-08T03:20:00Z</dcterms:created>
  <dc:creator>tai yuzhu</dc:creator>
  <cp:lastModifiedBy>18847974776</cp:lastModifiedBy>
  <cp:lastPrinted>2020-10-20T02:28:00Z</cp:lastPrinted>
  <dcterms:modified xsi:type="dcterms:W3CDTF">2020-12-14T03:28:22Z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995045747_btnclosed</vt:lpwstr>
  </property>
</Properties>
</file>